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captext" type="frame"/>
    </v:background>
  </w:background>
  <w:body>
    <w:p w:rsidR="00000000" w:rsidRDefault="00E13EFB">
      <w:pPr>
        <w:ind w:left="4380" w:hanging="4380"/>
        <w:rPr>
          <w:rFonts w:ascii="Trebuchet MS" w:hAnsi="Trebuchet MS"/>
          <w:b/>
          <w:color w:val="990033"/>
          <w:sz w:val="28"/>
          <w:szCs w:val="28"/>
        </w:rPr>
      </w:pPr>
      <w:proofErr w:type="spellStart"/>
      <w:r>
        <w:rPr>
          <w:rFonts w:ascii="Trebuchet MS" w:hAnsi="Trebuchet MS"/>
          <w:b/>
          <w:bCs/>
          <w:sz w:val="28"/>
          <w:szCs w:val="28"/>
        </w:rPr>
        <w:t>CptS</w:t>
      </w:r>
      <w:proofErr w:type="spellEnd"/>
      <w:r>
        <w:rPr>
          <w:rFonts w:ascii="Trebuchet MS" w:hAnsi="Trebuchet MS"/>
          <w:b/>
          <w:bCs/>
          <w:sz w:val="28"/>
          <w:szCs w:val="28"/>
        </w:rPr>
        <w:t xml:space="preserve"> 122 – Data Structures                                                                     </w:t>
      </w:r>
      <w:r>
        <w:rPr>
          <w:rFonts w:ascii="Trebuchet MS" w:hAnsi="Trebuchet MS"/>
          <w:b/>
          <w:bCs/>
          <w:sz w:val="28"/>
          <w:szCs w:val="28"/>
        </w:rPr>
        <w:tab/>
        <w:t xml:space="preserve">    </w:t>
      </w:r>
    </w:p>
    <w:p w:rsidR="00000000" w:rsidRDefault="00E13EFB">
      <w:pPr>
        <w:ind w:left="4380" w:hanging="4380"/>
        <w:jc w:val="center"/>
        <w:rPr>
          <w:rFonts w:ascii="Trebuchet MS" w:hAnsi="Trebuchet MS"/>
          <w:b/>
          <w:color w:val="990033"/>
          <w:sz w:val="28"/>
          <w:szCs w:val="28"/>
        </w:rPr>
      </w:pPr>
    </w:p>
    <w:p w:rsidR="00000000" w:rsidRDefault="00E13EFB">
      <w:pPr>
        <w:ind w:left="4380" w:hanging="4380"/>
        <w:rPr>
          <w:rFonts w:ascii="Trebuchet MS" w:hAnsi="Trebuchet MS"/>
          <w:color w:val="800000"/>
        </w:rPr>
      </w:pPr>
      <w:r>
        <w:rPr>
          <w:rFonts w:ascii="Trebuchet MS" w:hAnsi="Trebuchet MS"/>
          <w:b/>
          <w:bCs/>
          <w:color w:val="800000"/>
          <w:sz w:val="28"/>
          <w:szCs w:val="28"/>
        </w:rPr>
        <w:t>Final Exam Review Guide</w:t>
      </w:r>
    </w:p>
    <w:p w:rsidR="00000000" w:rsidRDefault="00E13EFB">
      <w:pPr>
        <w:ind w:left="4380" w:hanging="4380"/>
        <w:jc w:val="center"/>
        <w:rPr>
          <w:rFonts w:ascii="Trebuchet MS" w:hAnsi="Trebuchet MS"/>
          <w:b/>
          <w:bCs/>
        </w:rPr>
      </w:pP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This document will serve as a guide to help you prepare for the final written exam in </w:t>
      </w:r>
      <w:proofErr w:type="spellStart"/>
      <w:r>
        <w:rPr>
          <w:rFonts w:ascii="Trebuchet MS" w:hAnsi="Trebuchet MS"/>
        </w:rPr>
        <w:t>CptS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122. You will find information about the exam format and topics you are expected to review within this guide.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What to Bring?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9178"/>
      </w:tblGrid>
      <w:tr w:rsidR="00000000">
        <w:trPr>
          <w:tblCellSpacing w:w="0" w:type="dxa"/>
        </w:trPr>
        <w:tc>
          <w:tcPr>
            <w:tcW w:w="270" w:type="dxa"/>
            <w:hideMark/>
          </w:tcPr>
          <w:p w:rsidR="00000000" w:rsidRDefault="00E13EF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noProof/>
              </w:rPr>
              <w:drawing>
                <wp:inline distT="0" distB="0" distL="0" distR="0">
                  <wp:extent cx="85725" cy="100330"/>
                  <wp:effectExtent l="0" t="0" r="9525" b="0"/>
                  <wp:docPr id="6" name="Picture 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7" w:type="dxa"/>
            <w:hideMark/>
          </w:tcPr>
          <w:p w:rsidR="00000000" w:rsidRDefault="00E13E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Your WSU ID</w:t>
            </w:r>
          </w:p>
        </w:tc>
      </w:tr>
      <w:tr w:rsidR="00000000">
        <w:trPr>
          <w:tblCellSpacing w:w="0" w:type="dxa"/>
        </w:trPr>
        <w:tc>
          <w:tcPr>
            <w:tcW w:w="270" w:type="dxa"/>
            <w:hideMark/>
          </w:tcPr>
          <w:p w:rsidR="00000000" w:rsidRDefault="00E13EF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noProof/>
              </w:rPr>
              <w:drawing>
                <wp:inline distT="0" distB="0" distL="0" distR="0">
                  <wp:extent cx="85725" cy="100330"/>
                  <wp:effectExtent l="0" t="0" r="9525" b="0"/>
                  <wp:docPr id="5" name="Picture 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7" w:type="dxa"/>
            <w:hideMark/>
          </w:tcPr>
          <w:p w:rsidR="00000000" w:rsidRDefault="00E13E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Two sharp pencils</w:t>
            </w:r>
          </w:p>
        </w:tc>
      </w:tr>
      <w:tr w:rsidR="00000000">
        <w:trPr>
          <w:tblCellSpacing w:w="0" w:type="dxa"/>
        </w:trPr>
        <w:tc>
          <w:tcPr>
            <w:tcW w:w="270" w:type="dxa"/>
            <w:hideMark/>
          </w:tcPr>
          <w:p w:rsidR="00000000" w:rsidRDefault="00E13EF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noProof/>
              </w:rPr>
              <w:drawing>
                <wp:inline distT="0" distB="0" distL="0" distR="0">
                  <wp:extent cx="85725" cy="100330"/>
                  <wp:effectExtent l="0" t="0" r="9525" b="0"/>
                  <wp:docPr id="4" name="Picture 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7" w:type="dxa"/>
            <w:hideMark/>
          </w:tcPr>
          <w:p w:rsidR="00000000" w:rsidRDefault="00E13E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Calculators and other notes may</w:t>
            </w:r>
            <w:r>
              <w:rPr>
                <w:rFonts w:ascii="Trebuchet MS" w:hAnsi="Trebuchet MS"/>
                <w:b/>
                <w:bCs/>
              </w:rPr>
              <w:t xml:space="preserve"> not</w:t>
            </w:r>
            <w:r>
              <w:rPr>
                <w:rFonts w:ascii="Trebuchet MS" w:hAnsi="Trebuchet MS"/>
              </w:rPr>
              <w:t xml:space="preserve"> be used during the exam!</w:t>
            </w:r>
          </w:p>
        </w:tc>
      </w:tr>
    </w:tbl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Exam Timeframe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final exam is scheduled for </w:t>
      </w:r>
      <w:r w:rsidR="00457596">
        <w:rPr>
          <w:rFonts w:ascii="Trebuchet MS" w:hAnsi="Trebuchet MS" w:cs="Calibri"/>
          <w:b/>
          <w:bCs/>
          <w:color w:val="800000"/>
          <w:shd w:val="clear" w:color="auto" w:fill="FFFFFF" w:themeFill="background1"/>
        </w:rPr>
        <w:t>MON, Apr 28</w:t>
      </w:r>
      <w:r>
        <w:rPr>
          <w:rFonts w:ascii="Trebuchet MS" w:hAnsi="Trebuchet MS" w:cs="Calibri"/>
          <w:b/>
          <w:bCs/>
          <w:color w:val="800000"/>
          <w:shd w:val="clear" w:color="auto" w:fill="FFFFFF" w:themeFill="background1"/>
        </w:rPr>
        <w:t xml:space="preserve">, </w:t>
      </w:r>
      <w:r w:rsidR="00457596">
        <w:rPr>
          <w:rFonts w:ascii="Trebuchet MS" w:hAnsi="Trebuchet MS" w:cs="Calibri"/>
          <w:b/>
          <w:bCs/>
          <w:color w:val="800000"/>
          <w:shd w:val="clear" w:color="auto" w:fill="FFFFFF" w:themeFill="background1"/>
        </w:rPr>
        <w:t>8:00 – 10:00 am</w:t>
      </w:r>
      <w:r>
        <w:rPr>
          <w:rFonts w:ascii="Trebuchet MS" w:hAnsi="Trebuchet MS"/>
        </w:rPr>
        <w:t xml:space="preserve">. It will be held in our normally scheduled </w:t>
      </w:r>
      <w:r>
        <w:rPr>
          <w:rFonts w:ascii="Trebuchet MS" w:hAnsi="Trebuchet MS"/>
        </w:rPr>
        <w:t>classroom location. Note that, when you hand in your exam, you will be required to present your WSU ID to the exam proctor.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Exam Format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000000" w:rsidRDefault="00E13EFB">
      <w:pPr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 xml:space="preserve">Expect the final exam to look a lot like the two midterms, except that it will be longer, because </w:t>
      </w:r>
      <w:r>
        <w:rPr>
          <w:rFonts w:ascii="Trebuchet MS" w:hAnsi="Trebuchet MS" w:cs="Times New Roman"/>
          <w:b/>
          <w:bCs/>
          <w:color w:val="auto"/>
        </w:rPr>
        <w:t>you will have a fu</w:t>
      </w:r>
      <w:r>
        <w:rPr>
          <w:rFonts w:ascii="Trebuchet MS" w:hAnsi="Trebuchet MS" w:cs="Times New Roman"/>
          <w:b/>
          <w:bCs/>
          <w:color w:val="auto"/>
        </w:rPr>
        <w:t>ll two hours</w:t>
      </w:r>
      <w:r>
        <w:rPr>
          <w:rFonts w:ascii="Trebuchet MS" w:hAnsi="Trebuchet MS" w:cs="Times New Roman"/>
          <w:color w:val="auto"/>
        </w:rPr>
        <w:t xml:space="preserve"> to take the exam, rather than one hour. There will be a mix, of true-false, fill-in-the-blank, multiple-choice, and short answer/code questions that test your knowledge of key concepts. Expect also to supply short code snippets, and to trace t</w:t>
      </w:r>
      <w:r>
        <w:rPr>
          <w:rFonts w:ascii="Trebuchet MS" w:hAnsi="Trebuchet MS" w:cs="Times New Roman"/>
          <w:color w:val="auto"/>
        </w:rPr>
        <w:t>hrough C/C++ code segments and specify their output.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Exam Coverage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000000" w:rsidRDefault="00E13EFB">
      <w:pPr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>The exam is comprehensive, covering all the material we have explored in this course.</w:t>
      </w:r>
    </w:p>
    <w:p w:rsidR="00000000" w:rsidRDefault="00E13EFB">
      <w:pPr>
        <w:pStyle w:val="NormalWeb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Topics that are fair game from midterm #1: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 xml:space="preserve">See the </w:t>
      </w:r>
      <w:hyperlink r:id="rId7" w:history="1">
        <w:r>
          <w:rPr>
            <w:rStyle w:val="Hyperlink"/>
            <w:rFonts w:ascii="Trebuchet MS" w:hAnsi="Trebuchet MS" w:cs="Times New Roman"/>
            <w:color w:val="800000"/>
          </w:rPr>
          <w:t>midterm #1 exam</w:t>
        </w:r>
        <w:r>
          <w:rPr>
            <w:rStyle w:val="Hyperlink"/>
            <w:rFonts w:ascii="Trebuchet MS" w:hAnsi="Trebuchet MS" w:cs="Times New Roman"/>
            <w:color w:val="800000"/>
          </w:rPr>
          <w:t xml:space="preserve"> </w:t>
        </w:r>
        <w:r>
          <w:rPr>
            <w:rStyle w:val="Hyperlink"/>
            <w:rFonts w:ascii="Trebuchet MS" w:hAnsi="Trebuchet MS" w:cs="Times New Roman"/>
            <w:color w:val="800000"/>
          </w:rPr>
          <w:t>review</w:t>
        </w:r>
      </w:hyperlink>
      <w:r>
        <w:rPr>
          <w:rFonts w:ascii="Trebuchet MS" w:hAnsi="Trebuchet MS" w:cs="Times New Roman"/>
          <w:color w:val="800000"/>
        </w:rPr>
        <w:t xml:space="preserve"> </w:t>
      </w:r>
      <w:r>
        <w:rPr>
          <w:rFonts w:ascii="Trebuchet MS" w:hAnsi="Trebuchet MS" w:cs="Times New Roman"/>
          <w:color w:val="auto"/>
        </w:rPr>
        <w:t>for a list of topics that are fair game. In other words, all of the material covered in the first five weeks of the course is fair game.</w:t>
      </w:r>
    </w:p>
    <w:p w:rsidR="00000000" w:rsidRDefault="00E13EFB">
      <w:pPr>
        <w:pStyle w:val="NormalWeb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Topics that are fair game from midterm #2: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 xml:space="preserve">See the </w:t>
      </w:r>
      <w:hyperlink r:id="rId8" w:history="1">
        <w:r>
          <w:rPr>
            <w:rStyle w:val="Hyperlink"/>
            <w:rFonts w:ascii="Trebuchet MS" w:hAnsi="Trebuchet MS" w:cs="Times New Roman"/>
            <w:color w:val="990033"/>
          </w:rPr>
          <w:t>midterm #2 exam r</w:t>
        </w:r>
        <w:r>
          <w:rPr>
            <w:rStyle w:val="Hyperlink"/>
            <w:rFonts w:ascii="Trebuchet MS" w:hAnsi="Trebuchet MS" w:cs="Times New Roman"/>
            <w:color w:val="990033"/>
          </w:rPr>
          <w:t>e</w:t>
        </w:r>
        <w:r>
          <w:rPr>
            <w:rStyle w:val="Hyperlink"/>
            <w:rFonts w:ascii="Trebuchet MS" w:hAnsi="Trebuchet MS" w:cs="Times New Roman"/>
            <w:color w:val="990033"/>
          </w:rPr>
          <w:t>view</w:t>
        </w:r>
      </w:hyperlink>
      <w:r>
        <w:rPr>
          <w:rFonts w:ascii="Trebuchet MS" w:hAnsi="Trebuchet MS" w:cs="Times New Roman"/>
          <w:color w:val="auto"/>
        </w:rPr>
        <w:t xml:space="preserve"> </w:t>
      </w:r>
      <w:r>
        <w:rPr>
          <w:rFonts w:ascii="Trebuchet MS" w:hAnsi="Trebuchet MS" w:cs="Times New Roman"/>
          <w:color w:val="auto"/>
        </w:rPr>
        <w:t>for a list of topics that are fair game. In other words, all of the material covered in the second five weeks of the course is fair game.</w:t>
      </w:r>
    </w:p>
    <w:p w:rsidR="00000000" w:rsidRDefault="00E13EFB">
      <w:pPr>
        <w:pStyle w:val="NormalWeb"/>
        <w:rPr>
          <w:rFonts w:ascii="Trebuchet MS" w:hAnsi="Trebuchet MS"/>
        </w:rPr>
      </w:pPr>
      <w:r>
        <w:rPr>
          <w:rFonts w:ascii="Trebuchet MS" w:hAnsi="Trebuchet MS"/>
        </w:rPr>
        <w:t>The following is a list of exam topics covered in the final five weeks of the course:</w:t>
      </w:r>
    </w:p>
    <w:p w:rsidR="00000000" w:rsidRDefault="00E13EF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Chapter 11: Object-Oriented Prog</w:t>
      </w:r>
      <w:r>
        <w:rPr>
          <w:rFonts w:ascii="Trebuchet MS" w:hAnsi="Trebuchet MS"/>
          <w:b/>
        </w:rPr>
        <w:t>ramming: Inheritance</w:t>
      </w:r>
    </w:p>
    <w:p w:rsidR="00000000" w:rsidRDefault="00E13EFB">
      <w:pPr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lastRenderedPageBreak/>
        <w:t>What is inheritance? When should we apply it?</w:t>
      </w:r>
    </w:p>
    <w:p w:rsidR="00000000" w:rsidRDefault="00E13EFB">
      <w:pPr>
        <w:numPr>
          <w:ilvl w:val="1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Recall inheritance applies a “is-a” relationship</w:t>
      </w:r>
    </w:p>
    <w:p w:rsidR="00000000" w:rsidRDefault="00E13EFB">
      <w:pPr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Define, implement, and apply </w:t>
      </w:r>
      <w:r>
        <w:rPr>
          <w:rFonts w:ascii="Trebuchet MS" w:hAnsi="Trebuchet MS"/>
          <w:i/>
        </w:rPr>
        <w:t>base</w:t>
      </w:r>
      <w:r>
        <w:rPr>
          <w:rFonts w:ascii="Trebuchet MS" w:hAnsi="Trebuchet MS"/>
        </w:rPr>
        <w:t xml:space="preserve"> and </w:t>
      </w:r>
      <w:r>
        <w:rPr>
          <w:rFonts w:ascii="Trebuchet MS" w:hAnsi="Trebuchet MS"/>
          <w:i/>
        </w:rPr>
        <w:t>derived</w:t>
      </w:r>
      <w:r>
        <w:rPr>
          <w:rFonts w:ascii="Trebuchet MS" w:hAnsi="Trebuchet MS"/>
        </w:rPr>
        <w:t xml:space="preserve"> classes</w:t>
      </w:r>
    </w:p>
    <w:p w:rsidR="00000000" w:rsidRDefault="00E13EFB">
      <w:pPr>
        <w:numPr>
          <w:ilvl w:val="1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Other terms include: subclass, superclass</w:t>
      </w:r>
    </w:p>
    <w:p w:rsidR="00000000" w:rsidRDefault="00E13EFB">
      <w:pPr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Describe when to apply the </w:t>
      </w:r>
      <w:r>
        <w:rPr>
          <w:rFonts w:ascii="Trebuchet MS" w:hAnsi="Trebuchet MS"/>
          <w:i/>
        </w:rPr>
        <w:t>protected</w:t>
      </w:r>
      <w:r>
        <w:rPr>
          <w:rFonts w:ascii="Trebuchet MS" w:hAnsi="Trebuchet MS"/>
        </w:rPr>
        <w:t xml:space="preserve"> access </w:t>
      </w:r>
      <w:r>
        <w:rPr>
          <w:rFonts w:ascii="Trebuchet MS" w:hAnsi="Trebuchet MS"/>
        </w:rPr>
        <w:t>specifier</w:t>
      </w:r>
    </w:p>
    <w:p w:rsidR="00000000" w:rsidRDefault="00E13EFB">
      <w:pPr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Describe the different inheritance access specifiers of C++ (i.e. public, protected, and private)</w:t>
      </w:r>
    </w:p>
    <w:p w:rsidR="00000000" w:rsidRDefault="00E13EFB">
      <w:pPr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What is </w:t>
      </w:r>
      <w:r>
        <w:rPr>
          <w:rFonts w:ascii="Trebuchet MS" w:hAnsi="Trebuchet MS"/>
          <w:i/>
        </w:rPr>
        <w:t>single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i/>
        </w:rPr>
        <w:t xml:space="preserve">multiple, hierarchical, multilevel, </w:t>
      </w:r>
      <w:r>
        <w:rPr>
          <w:rFonts w:ascii="Trebuchet MS" w:hAnsi="Trebuchet MS"/>
        </w:rPr>
        <w:t xml:space="preserve">and </w:t>
      </w:r>
      <w:r>
        <w:rPr>
          <w:rFonts w:ascii="Trebuchet MS" w:hAnsi="Trebuchet MS"/>
          <w:i/>
        </w:rPr>
        <w:t>hybrid</w:t>
      </w:r>
      <w:r>
        <w:rPr>
          <w:rFonts w:ascii="Trebuchet MS" w:hAnsi="Trebuchet MS"/>
        </w:rPr>
        <w:t xml:space="preserve"> inheritance?</w:t>
      </w:r>
    </w:p>
    <w:p w:rsidR="00000000" w:rsidRDefault="00E13EFB">
      <w:pPr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Describe the </w:t>
      </w:r>
      <w:r>
        <w:rPr>
          <w:rFonts w:ascii="Trebuchet MS" w:hAnsi="Trebuchet MS"/>
          <w:i/>
        </w:rPr>
        <w:t>diamond</w:t>
      </w:r>
      <w:r>
        <w:rPr>
          <w:rFonts w:ascii="Trebuchet MS" w:hAnsi="Trebuchet MS"/>
        </w:rPr>
        <w:t xml:space="preserve"> problem</w:t>
      </w:r>
    </w:p>
    <w:p w:rsidR="00000000" w:rsidRDefault="00E13EFB">
      <w:pPr>
        <w:pStyle w:val="NormalWeb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Chapter 12: Polymorphism </w:t>
      </w:r>
    </w:p>
    <w:p w:rsidR="00000000" w:rsidRDefault="00E13EFB">
      <w:pPr>
        <w:numPr>
          <w:ilvl w:val="0"/>
          <w:numId w:val="2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Define the term </w:t>
      </w:r>
      <w:r>
        <w:rPr>
          <w:rFonts w:ascii="Trebuchet MS" w:hAnsi="Trebuchet MS"/>
          <w:i/>
        </w:rPr>
        <w:t>p</w:t>
      </w:r>
      <w:r>
        <w:rPr>
          <w:rFonts w:ascii="Trebuchet MS" w:hAnsi="Trebuchet MS"/>
          <w:i/>
        </w:rPr>
        <w:t>olymorphism</w:t>
      </w:r>
    </w:p>
    <w:p w:rsidR="00000000" w:rsidRDefault="00E13EFB">
      <w:pPr>
        <w:numPr>
          <w:ilvl w:val="0"/>
          <w:numId w:val="2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What is a </w:t>
      </w:r>
      <w:r>
        <w:rPr>
          <w:rFonts w:ascii="Trebuchet MS" w:hAnsi="Trebuchet MS"/>
          <w:i/>
        </w:rPr>
        <w:t>virtual</w:t>
      </w:r>
      <w:r>
        <w:rPr>
          <w:rFonts w:ascii="Trebuchet MS" w:hAnsi="Trebuchet MS"/>
        </w:rPr>
        <w:t xml:space="preserve"> function? What is a </w:t>
      </w:r>
      <w:r>
        <w:rPr>
          <w:rFonts w:ascii="Trebuchet MS" w:hAnsi="Trebuchet MS"/>
          <w:i/>
        </w:rPr>
        <w:t>pure</w:t>
      </w:r>
      <w:r>
        <w:rPr>
          <w:rFonts w:ascii="Trebuchet MS" w:hAnsi="Trebuchet MS"/>
        </w:rPr>
        <w:t xml:space="preserve"> virtual function?</w:t>
      </w:r>
    </w:p>
    <w:p w:rsidR="00000000" w:rsidRDefault="00E13EFB">
      <w:pPr>
        <w:numPr>
          <w:ilvl w:val="0"/>
          <w:numId w:val="2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Provide an example of when/how polymorphism should be applied</w:t>
      </w:r>
    </w:p>
    <w:p w:rsidR="00000000" w:rsidRDefault="00E13EFB">
      <w:pPr>
        <w:numPr>
          <w:ilvl w:val="0"/>
          <w:numId w:val="2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Define </w:t>
      </w:r>
      <w:r>
        <w:rPr>
          <w:rFonts w:ascii="Trebuchet MS" w:hAnsi="Trebuchet MS"/>
          <w:i/>
        </w:rPr>
        <w:t>abstract</w:t>
      </w:r>
      <w:r>
        <w:rPr>
          <w:rFonts w:ascii="Trebuchet MS" w:hAnsi="Trebuchet MS"/>
        </w:rPr>
        <w:t xml:space="preserve"> class and </w:t>
      </w:r>
      <w:r>
        <w:rPr>
          <w:rFonts w:ascii="Trebuchet MS" w:hAnsi="Trebuchet MS"/>
          <w:i/>
        </w:rPr>
        <w:t>concrete</w:t>
      </w:r>
      <w:r>
        <w:rPr>
          <w:rFonts w:ascii="Trebuchet MS" w:hAnsi="Trebuchet MS"/>
        </w:rPr>
        <w:t xml:space="preserve"> class</w:t>
      </w:r>
    </w:p>
    <w:p w:rsidR="00000000" w:rsidRDefault="00E13EFB">
      <w:pPr>
        <w:numPr>
          <w:ilvl w:val="0"/>
          <w:numId w:val="2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What is a virtual function table or </w:t>
      </w:r>
      <w:proofErr w:type="spellStart"/>
      <w:r>
        <w:rPr>
          <w:rFonts w:ascii="Trebuchet MS" w:hAnsi="Trebuchet MS"/>
          <w:i/>
        </w:rPr>
        <w:t>vtable</w:t>
      </w:r>
      <w:proofErr w:type="spellEnd"/>
      <w:r>
        <w:rPr>
          <w:rFonts w:ascii="Trebuchet MS" w:hAnsi="Trebuchet MS"/>
        </w:rPr>
        <w:t>?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>Implement and apply polymorphism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>How does polymorphism apply to computer game creation?</w:t>
      </w:r>
    </w:p>
    <w:p w:rsidR="00000000" w:rsidRDefault="00E13EFB">
      <w:pPr>
        <w:pStyle w:val="NormalWeb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Chapter 17: Exception Handling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 xml:space="preserve">Define what is an </w:t>
      </w:r>
      <w:r>
        <w:rPr>
          <w:rFonts w:ascii="Trebuchet MS" w:hAnsi="Trebuchet MS" w:cs="Times New Roman"/>
          <w:i/>
          <w:color w:val="auto"/>
        </w:rPr>
        <w:t>exception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>Implement and apply exception handling to C++ programs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 xml:space="preserve">List and identify standard library exception classes (i.e. </w:t>
      </w:r>
      <w:proofErr w:type="spellStart"/>
      <w:r>
        <w:rPr>
          <w:rFonts w:ascii="Trebuchet MS" w:hAnsi="Trebuchet MS" w:cs="Times New Roman"/>
          <w:color w:val="auto"/>
        </w:rPr>
        <w:t>logic_error</w:t>
      </w:r>
      <w:proofErr w:type="spellEnd"/>
      <w:r>
        <w:rPr>
          <w:rFonts w:ascii="Trebuchet MS" w:hAnsi="Trebuchet MS" w:cs="Times New Roman"/>
          <w:color w:val="auto"/>
        </w:rPr>
        <w:t xml:space="preserve">, </w:t>
      </w:r>
      <w:proofErr w:type="spellStart"/>
      <w:r>
        <w:rPr>
          <w:rFonts w:ascii="Trebuchet MS" w:hAnsi="Trebuchet MS" w:cs="Times New Roman"/>
          <w:color w:val="auto"/>
        </w:rPr>
        <w:t>runtime_error</w:t>
      </w:r>
      <w:proofErr w:type="spellEnd"/>
      <w:r>
        <w:rPr>
          <w:rFonts w:ascii="Trebuchet MS" w:hAnsi="Trebuchet MS" w:cs="Times New Roman"/>
          <w:color w:val="auto"/>
        </w:rPr>
        <w:t xml:space="preserve">, </w:t>
      </w:r>
      <w:r>
        <w:rPr>
          <w:rFonts w:ascii="Trebuchet MS" w:hAnsi="Trebuchet MS" w:cs="Times New Roman"/>
          <w:color w:val="auto"/>
        </w:rPr>
        <w:t>etc.)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>Discuss when to apply exception handling</w:t>
      </w:r>
    </w:p>
    <w:p w:rsidR="00000000" w:rsidRDefault="00E13EFB">
      <w:pPr>
        <w:spacing w:before="100" w:beforeAutospacing="1" w:after="100" w:afterAutospacing="1"/>
        <w:ind w:left="720"/>
        <w:rPr>
          <w:rFonts w:ascii="Trebuchet MS" w:hAnsi="Trebuchet MS" w:cs="Times New Roman"/>
          <w:color w:val="auto"/>
        </w:rPr>
      </w:pPr>
    </w:p>
    <w:p w:rsidR="00000000" w:rsidRDefault="00E13EF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Chapter 20: Searching and Sorting</w:t>
      </w:r>
    </w:p>
    <w:p w:rsidR="00000000" w:rsidRDefault="00E13EFB">
      <w:pPr>
        <w:rPr>
          <w:rFonts w:ascii="Trebuchet MS" w:hAnsi="Trebuchet MS"/>
          <w:b/>
        </w:rPr>
      </w:pPr>
    </w:p>
    <w:p w:rsidR="00000000" w:rsidRDefault="00E13EFB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What is Big-O notation?</w:t>
      </w:r>
    </w:p>
    <w:p w:rsidR="00000000" w:rsidRDefault="00E13EFB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What is the meaning of constant, linear, and quadratic runtime?</w:t>
      </w:r>
    </w:p>
    <w:p w:rsidR="00000000" w:rsidRDefault="00E13EFB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Identify the runtimes for linear and binary search, and insertion, selection, and bub</w:t>
      </w:r>
      <w:r>
        <w:rPr>
          <w:rFonts w:ascii="Trebuchet MS" w:hAnsi="Trebuchet MS"/>
        </w:rPr>
        <w:t>ble sorts in the best, average, and worst-case</w:t>
      </w:r>
    </w:p>
    <w:p w:rsidR="00000000" w:rsidRDefault="00E13EFB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Identify the runtimes for operations applied to lists, stacks, queues, and BSTs; these include both array and linked implementations of these data structures; what is the runtime for </w:t>
      </w:r>
      <w:proofErr w:type="spellStart"/>
      <w:r>
        <w:rPr>
          <w:rFonts w:ascii="Trebuchet MS" w:hAnsi="Trebuchet MS"/>
        </w:rPr>
        <w:t>insertFront</w:t>
      </w:r>
      <w:proofErr w:type="spellEnd"/>
      <w:r>
        <w:rPr>
          <w:rFonts w:ascii="Trebuchet MS" w:hAnsi="Trebuchet MS"/>
        </w:rPr>
        <w:t xml:space="preserve"> (), </w:t>
      </w:r>
      <w:proofErr w:type="spellStart"/>
      <w:r>
        <w:rPr>
          <w:rFonts w:ascii="Trebuchet MS" w:hAnsi="Trebuchet MS"/>
        </w:rPr>
        <w:t>insertEnd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(), </w:t>
      </w:r>
      <w:proofErr w:type="spellStart"/>
      <w:r>
        <w:rPr>
          <w:rFonts w:ascii="Trebuchet MS" w:hAnsi="Trebuchet MS"/>
        </w:rPr>
        <w:t>insertInOrder</w:t>
      </w:r>
      <w:proofErr w:type="spellEnd"/>
      <w:r>
        <w:rPr>
          <w:rFonts w:ascii="Trebuchet MS" w:hAnsi="Trebuchet MS"/>
        </w:rPr>
        <w:t xml:space="preserve"> (), </w:t>
      </w:r>
      <w:proofErr w:type="spellStart"/>
      <w:r>
        <w:rPr>
          <w:rFonts w:ascii="Trebuchet MS" w:hAnsi="Trebuchet MS"/>
        </w:rPr>
        <w:t>deleteFront</w:t>
      </w:r>
      <w:proofErr w:type="spellEnd"/>
      <w:r>
        <w:rPr>
          <w:rFonts w:ascii="Trebuchet MS" w:hAnsi="Trebuchet MS"/>
        </w:rPr>
        <w:t xml:space="preserve"> (), </w:t>
      </w:r>
      <w:proofErr w:type="spellStart"/>
      <w:r>
        <w:rPr>
          <w:rFonts w:ascii="Trebuchet MS" w:hAnsi="Trebuchet MS"/>
        </w:rPr>
        <w:t>deleteEnd</w:t>
      </w:r>
      <w:proofErr w:type="spellEnd"/>
      <w:r>
        <w:rPr>
          <w:rFonts w:ascii="Trebuchet MS" w:hAnsi="Trebuchet MS"/>
        </w:rPr>
        <w:t xml:space="preserve"> (), </w:t>
      </w:r>
      <w:proofErr w:type="spellStart"/>
      <w:r>
        <w:rPr>
          <w:rFonts w:ascii="Trebuchet MS" w:hAnsi="Trebuchet MS"/>
        </w:rPr>
        <w:t>deleteN</w:t>
      </w:r>
      <w:proofErr w:type="spellEnd"/>
      <w:r>
        <w:rPr>
          <w:rFonts w:ascii="Trebuchet MS" w:hAnsi="Trebuchet MS"/>
        </w:rPr>
        <w:t xml:space="preserve"> (), etc.</w:t>
      </w:r>
    </w:p>
    <w:p w:rsidR="00000000" w:rsidRDefault="00E13EFB">
      <w:pPr>
        <w:ind w:left="720"/>
        <w:rPr>
          <w:rFonts w:ascii="Trebuchet MS" w:hAnsi="Trebuchet MS"/>
        </w:rPr>
      </w:pPr>
    </w:p>
    <w:p w:rsidR="00000000" w:rsidRDefault="00E13EFB">
      <w:pPr>
        <w:pStyle w:val="NormalWeb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Other Material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 xml:space="preserve">What is </w:t>
      </w:r>
      <w:r>
        <w:rPr>
          <w:rFonts w:ascii="Trebuchet MS" w:hAnsi="Trebuchet MS" w:cs="Times New Roman"/>
          <w:i/>
          <w:color w:val="auto"/>
        </w:rPr>
        <w:t>UML</w:t>
      </w:r>
      <w:r>
        <w:rPr>
          <w:rFonts w:ascii="Trebuchet MS" w:hAnsi="Trebuchet MS" w:cs="Times New Roman"/>
          <w:color w:val="auto"/>
        </w:rPr>
        <w:t>?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 xml:space="preserve">When should we </w:t>
      </w:r>
      <w:r>
        <w:rPr>
          <w:rFonts w:ascii="Trebuchet MS" w:hAnsi="Trebuchet MS" w:cs="Times New Roman"/>
          <w:i/>
          <w:color w:val="auto"/>
        </w:rPr>
        <w:t>apply</w:t>
      </w:r>
      <w:r>
        <w:rPr>
          <w:rFonts w:ascii="Trebuchet MS" w:hAnsi="Trebuchet MS" w:cs="Times New Roman"/>
          <w:color w:val="auto"/>
        </w:rPr>
        <w:t xml:space="preserve"> UML diagrams?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 xml:space="preserve">Construct and apply UML </w:t>
      </w:r>
      <w:r>
        <w:rPr>
          <w:rFonts w:ascii="Trebuchet MS" w:hAnsi="Trebuchet MS" w:cs="Times New Roman"/>
          <w:i/>
          <w:color w:val="auto"/>
        </w:rPr>
        <w:t>class</w:t>
      </w:r>
      <w:r>
        <w:rPr>
          <w:rFonts w:ascii="Trebuchet MS" w:hAnsi="Trebuchet MS" w:cs="Times New Roman"/>
          <w:color w:val="auto"/>
        </w:rPr>
        <w:t xml:space="preserve"> diagrams</w:t>
      </w:r>
    </w:p>
    <w:p w:rsidR="00000000" w:rsidRDefault="00E13EFB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Times New Roman"/>
          <w:color w:val="auto"/>
        </w:rPr>
      </w:pPr>
      <w:r>
        <w:rPr>
          <w:rFonts w:ascii="Trebuchet MS" w:hAnsi="Trebuchet MS" w:cs="Times New Roman"/>
          <w:color w:val="auto"/>
        </w:rPr>
        <w:t>What is the Standard Template Library (</w:t>
      </w:r>
      <w:smartTag w:uri="urn:schemas-microsoft-com:office:smarttags" w:element="stockticker">
        <w:r>
          <w:rPr>
            <w:rFonts w:ascii="Trebuchet MS" w:hAnsi="Trebuchet MS" w:cs="Times New Roman"/>
            <w:color w:val="auto"/>
          </w:rPr>
          <w:t>STL</w:t>
        </w:r>
      </w:smartTag>
      <w:r>
        <w:rPr>
          <w:rFonts w:ascii="Trebuchet MS" w:hAnsi="Trebuchet MS" w:cs="Times New Roman"/>
          <w:color w:val="auto"/>
        </w:rPr>
        <w:t>)? (Chapter 15.1 – 15.5)</w:t>
      </w:r>
    </w:p>
    <w:p w:rsidR="00000000" w:rsidRDefault="00E13EFB">
      <w:pPr>
        <w:spacing w:before="100" w:beforeAutospacing="1" w:after="100" w:afterAutospacing="1"/>
        <w:ind w:left="720"/>
        <w:rPr>
          <w:rFonts w:ascii="Trebuchet MS" w:hAnsi="Trebuchet MS" w:cs="Times New Roman"/>
          <w:color w:val="auto"/>
        </w:rPr>
      </w:pP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Recommended </w:t>
      </w:r>
      <w:r>
        <w:rPr>
          <w:rFonts w:ascii="Trebuchet MS" w:hAnsi="Trebuchet MS"/>
          <w:b/>
          <w:bCs/>
        </w:rPr>
        <w:t>Strategy for Preparing for the Exam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>I recommend that you use the following activities and materials to prepare for the exam:</w:t>
      </w:r>
    </w:p>
    <w:p w:rsidR="00000000" w:rsidRDefault="00E13EFB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tbl>
      <w:tblPr>
        <w:tblpPr w:leftFromText="180" w:rightFromText="180" w:vertAnchor="text" w:horzAnchor="margin" w:tblpY="100"/>
        <w:tblW w:w="46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8533"/>
      </w:tblGrid>
      <w:tr w:rsidR="00457596" w:rsidTr="00457596">
        <w:trPr>
          <w:trHeight w:val="362"/>
          <w:tblCellSpacing w:w="0" w:type="dxa"/>
        </w:trPr>
        <w:tc>
          <w:tcPr>
            <w:tcW w:w="179" w:type="dxa"/>
            <w:hideMark/>
          </w:tcPr>
          <w:p w:rsidR="00457596" w:rsidRDefault="00457596" w:rsidP="0045759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noProof/>
              </w:rPr>
              <w:drawing>
                <wp:inline distT="0" distB="0" distL="0" distR="0" wp14:anchorId="43729854" wp14:editId="1E4AB77E">
                  <wp:extent cx="85725" cy="100330"/>
                  <wp:effectExtent l="0" t="0" r="9525" b="0"/>
                  <wp:docPr id="3" name="Picture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3" w:type="dxa"/>
            <w:hideMark/>
          </w:tcPr>
          <w:p w:rsidR="00457596" w:rsidRDefault="00457596" w:rsidP="004575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Review quizzes and lab exercises</w:t>
            </w:r>
            <w:r>
              <w:rPr>
                <w:rFonts w:ascii="Trebuchet MS" w:hAnsi="Trebuchet MS"/>
              </w:rPr>
              <w:t xml:space="preserve">: These may well be your best resource. An excellent learning activity would be to retake the quizzes and review the lab exercises. </w:t>
            </w:r>
          </w:p>
        </w:tc>
      </w:tr>
      <w:tr w:rsidR="00457596" w:rsidTr="00457596">
        <w:trPr>
          <w:trHeight w:val="367"/>
          <w:tblCellSpacing w:w="0" w:type="dxa"/>
        </w:trPr>
        <w:tc>
          <w:tcPr>
            <w:tcW w:w="179" w:type="dxa"/>
            <w:hideMark/>
          </w:tcPr>
          <w:p w:rsidR="00457596" w:rsidRDefault="00457596" w:rsidP="0045759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noProof/>
              </w:rPr>
              <w:drawing>
                <wp:inline distT="0" distB="0" distL="0" distR="0" wp14:anchorId="336E229C" wp14:editId="2332793D">
                  <wp:extent cx="85725" cy="100330"/>
                  <wp:effectExtent l="0" t="0" r="9525" b="0"/>
                  <wp:docPr id="2" name="Picture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3" w:type="dxa"/>
            <w:hideMark/>
          </w:tcPr>
          <w:p w:rsidR="00457596" w:rsidRDefault="00457596" w:rsidP="004575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Lecture slides and example code</w:t>
            </w:r>
            <w:r>
              <w:rPr>
                <w:rFonts w:ascii="Trebuchet MS" w:hAnsi="Trebuchet MS"/>
              </w:rPr>
              <w:t>: Study the lecture slides and example code. Continue to complete extra coding examples on your own time.</w:t>
            </w:r>
          </w:p>
        </w:tc>
      </w:tr>
      <w:tr w:rsidR="00457596" w:rsidTr="00457596">
        <w:trPr>
          <w:trHeight w:val="325"/>
          <w:tblCellSpacing w:w="0" w:type="dxa"/>
        </w:trPr>
        <w:tc>
          <w:tcPr>
            <w:tcW w:w="179" w:type="dxa"/>
            <w:hideMark/>
          </w:tcPr>
          <w:p w:rsidR="00457596" w:rsidRDefault="00457596" w:rsidP="0045759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noProof/>
              </w:rPr>
              <w:drawing>
                <wp:inline distT="0" distB="0" distL="0" distR="0" wp14:anchorId="6261E656" wp14:editId="60CE4E87">
                  <wp:extent cx="85725" cy="100330"/>
                  <wp:effectExtent l="0" t="0" r="9525" b="0"/>
                  <wp:docPr id="1" name="Picture 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3" w:type="dxa"/>
            <w:hideMark/>
          </w:tcPr>
          <w:p w:rsidR="00457596" w:rsidRDefault="00457596" w:rsidP="004575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Read the textbook: </w:t>
            </w:r>
            <w:r>
              <w:rPr>
                <w:rFonts w:ascii="Trebuchet MS" w:hAnsi="Trebuchet MS"/>
              </w:rPr>
              <w:t>Read or re-read chapters 1 – 3, 6, 7, 9 - 12, 14, 15, 17 - 19, and 20 in your textbook. Solve the end-of-chapter exercises.</w:t>
            </w:r>
          </w:p>
        </w:tc>
      </w:tr>
    </w:tbl>
    <w:p w:rsidR="00E13EFB" w:rsidRDefault="00E13EFB">
      <w:pPr>
        <w:rPr>
          <w:rFonts w:ascii="Trebuchet MS" w:hAnsi="Trebuchet MS" w:cs="Times New Roman"/>
          <w:color w:val="auto"/>
        </w:rPr>
      </w:pPr>
      <w:bookmarkStart w:id="0" w:name="_GoBack"/>
      <w:bookmarkEnd w:id="0"/>
    </w:p>
    <w:sectPr w:rsidR="00E13EF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3.5pt;height:15.75pt" o:bullet="t">
        <v:imagedata r:id="rId1" o:title="image001"/>
      </v:shape>
    </w:pict>
  </w:numPicBullet>
  <w:abstractNum w:abstractNumId="0" w15:restartNumberingAfterBreak="0">
    <w:nsid w:val="151B6DEC"/>
    <w:multiLevelType w:val="hybridMultilevel"/>
    <w:tmpl w:val="74460392"/>
    <w:lvl w:ilvl="0" w:tplc="F9D62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56935"/>
    <w:multiLevelType w:val="hybridMultilevel"/>
    <w:tmpl w:val="DE1A4642"/>
    <w:lvl w:ilvl="0" w:tplc="2CD68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75DFD"/>
    <w:multiLevelType w:val="hybridMultilevel"/>
    <w:tmpl w:val="1A267990"/>
    <w:lvl w:ilvl="0" w:tplc="0C20A6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efaultTableStyle w:val="TableTheme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37A9"/>
    <w:rsid w:val="000D37A9"/>
    <w:rsid w:val="00457596"/>
    <w:rsid w:val="00E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C7E3A9E"/>
  <w15:chartTrackingRefBased/>
  <w15:docId w15:val="{B91F2E74-7CD3-4B56-B4A4-C27C8DAC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Theme="minorEastAsia"/>
      <w:color w:val="000099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eastAsiaTheme="minorEastAsia"/>
      <w:color w:val="00009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eastAsiaTheme="minorEastAsia"/>
      <w:color w:val="00009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eastAsiaTheme="minorEastAsia"/>
      <w:color w:val="000099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eastAsiaTheme="minorEastAsia"/>
      <w:color w:val="000099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eastAsiaTheme="minorEastAsia"/>
      <w:color w:val="000099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996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 w:hint="defaul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 w:hint="default"/>
      <w:color w:val="000000"/>
      <w:sz w:val="24"/>
      <w:szCs w:val="24"/>
    </w:rPr>
  </w:style>
  <w:style w:type="table" w:styleId="TableTheme">
    <w:name w:val="Table Theme"/>
    <w:basedOn w:val="TableNormal"/>
    <w:uiPriority w:val="99"/>
    <w:semiHidden/>
    <w:unhideWhenUsed/>
    <w:rPr>
      <w:color w:val="000000"/>
    </w:rPr>
    <w:tblPr>
      <w:tblInd w:w="0" w:type="nil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s.wsu.edu/~aofallon/cpts122/examreviews/exam2review.pdf" TargetMode="External"/><Relationship Id="rId3" Type="http://schemas.openxmlformats.org/officeDocument/2006/relationships/image" Target="media/image2.gif"/><Relationship Id="rId7" Type="http://schemas.openxmlformats.org/officeDocument/2006/relationships/hyperlink" Target="https://eecs.wsu.edu/~aofallon/cpts122/examreviews/exam1revi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user\Desktop\Spring2024\cpts122\graphics\paws4.g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 Guide</vt:lpstr>
    </vt:vector>
  </TitlesOfParts>
  <Company>Washington State University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 Guide</dc:title>
  <dc:subject/>
  <dc:creator>andy</dc:creator>
  <cp:keywords/>
  <dc:description/>
  <cp:lastModifiedBy>auser</cp:lastModifiedBy>
  <cp:revision>3</cp:revision>
  <dcterms:created xsi:type="dcterms:W3CDTF">2024-04-15T17:32:00Z</dcterms:created>
  <dcterms:modified xsi:type="dcterms:W3CDTF">2024-04-15T17:35:00Z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